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93043D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Summersville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062402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93043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93043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63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93043D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170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93043D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63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93043D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37.1%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73.0%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93043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95.2%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93043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93043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93043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3.2%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93043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1.6%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93043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96.8%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23.8%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93043D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31.7%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19.0%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93043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27.0%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30.2%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23.8%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15.9%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93043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65.1%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19.0%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93043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93043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98.4%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93043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1.6%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93043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71.4%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54.0%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7.9%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1440" w:type="dxa"/>
          </w:tcPr>
          <w:p w:rsidR="00ED0933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3.2%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93043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440" w:type="dxa"/>
          </w:tcPr>
          <w:p w:rsidR="009B797D" w:rsidRPr="00797E2A" w:rsidRDefault="0093043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9.5%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440" w:type="dxa"/>
          </w:tcPr>
          <w:p w:rsidR="008B42CE" w:rsidRPr="00797E2A" w:rsidRDefault="0093043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15.9%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34.9%</w:t>
            </w:r>
          </w:p>
        </w:tc>
        <w:tc>
          <w:tcPr>
            <w:tcW w:w="1440" w:type="dxa"/>
          </w:tcPr>
          <w:p w:rsidR="008B42CE" w:rsidRPr="00797E2A" w:rsidRDefault="0093043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46.0%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46.0%</w:t>
            </w:r>
          </w:p>
        </w:tc>
        <w:tc>
          <w:tcPr>
            <w:tcW w:w="1440" w:type="dxa"/>
          </w:tcPr>
          <w:p w:rsidR="00ED0933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23.8%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1.6%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889" w:type="pct"/>
          </w:tcPr>
          <w:p w:rsidR="004206F3" w:rsidRPr="000B28B6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92.1%</w:t>
            </w:r>
          </w:p>
        </w:tc>
        <w:tc>
          <w:tcPr>
            <w:tcW w:w="1011" w:type="pct"/>
          </w:tcPr>
          <w:p w:rsidR="004206F3" w:rsidRPr="000B28B6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9.5%</w:t>
            </w:r>
          </w:p>
        </w:tc>
        <w:tc>
          <w:tcPr>
            <w:tcW w:w="889" w:type="pct"/>
          </w:tcPr>
          <w:p w:rsidR="004206F3" w:rsidRPr="000B28B6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88.9%</w:t>
            </w:r>
          </w:p>
        </w:tc>
        <w:tc>
          <w:tcPr>
            <w:tcW w:w="1011" w:type="pct"/>
          </w:tcPr>
          <w:p w:rsidR="004206F3" w:rsidRPr="000B28B6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1.6%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58.7%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39.7%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1.6%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47.6%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49.2%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34.9%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31.7%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30.2%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15.9%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14.3%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3.2%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2250" w:type="dxa"/>
            <w:noWrap/>
          </w:tcPr>
          <w:p w:rsidR="004206F3" w:rsidRPr="00797E2A" w:rsidRDefault="0093043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3.2%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23.8%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23.8%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9.5%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23.8%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4.8%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3.2%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4.8%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370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6.3%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15.9%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15.9%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39.7%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34.9%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36.5%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3.2%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36.5%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41.3%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3.2%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39.7%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3.2%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34.9%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65.1%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31.7%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93043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3.2%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15.9%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15.9%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23.8%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15.9%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20.6%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15.9%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17.5%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4.8%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1.6%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1.6%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6.3%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6.3%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3.2%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6.3%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6.3%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93043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6.3%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36.5%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15.9%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46.0%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38.1%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47.6%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63.5%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54.0%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9.5%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60.3%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9.5%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60.3%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60.3%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74.6%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9.5%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170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41.3%</w:t>
            </w:r>
          </w:p>
        </w:tc>
        <w:tc>
          <w:tcPr>
            <w:tcW w:w="1435" w:type="dxa"/>
            <w:noWrap/>
          </w:tcPr>
          <w:p w:rsidR="00364F87" w:rsidRPr="00797E2A" w:rsidRDefault="0093043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7.9%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36.5%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52.4%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31.7%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68.3%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74.6%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79.4%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34.9%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73.0%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58.7%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58.7%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9.5%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93043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43D" w:rsidRDefault="0093043D" w:rsidP="0035328A">
      <w:pPr>
        <w:spacing w:after="0" w:line="240" w:lineRule="auto"/>
      </w:pPr>
      <w:r>
        <w:separator/>
      </w:r>
    </w:p>
  </w:endnote>
  <w:endnote w:type="continuationSeparator" w:id="0">
    <w:p w:rsidR="0093043D" w:rsidRDefault="0093043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93043D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43D" w:rsidRDefault="0093043D" w:rsidP="0035328A">
      <w:pPr>
        <w:spacing w:after="0" w:line="240" w:lineRule="auto"/>
      </w:pPr>
      <w:r>
        <w:separator/>
      </w:r>
    </w:p>
  </w:footnote>
  <w:footnote w:type="continuationSeparator" w:id="0">
    <w:p w:rsidR="0093043D" w:rsidRDefault="0093043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3D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043D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F7222FCE-CA6C-4B61-ADDB-64E15231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EC808-BE2E-45B5-83AF-96900D31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1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2016-04-26T20:04:00Z</dcterms:modified>
</cp:coreProperties>
</file>